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EB7" w:rsidRDefault="008C5EB7" w:rsidP="008C5EB7">
      <w:pPr>
        <w:pStyle w:val="Bezatstarpm"/>
        <w:ind w:firstLine="0"/>
        <w:jc w:val="left"/>
        <w:rPr>
          <w:rFonts w:ascii="Arial" w:eastAsia="Calibri" w:hAnsi="Arial" w:cs="Arial"/>
          <w:b/>
        </w:rPr>
      </w:pPr>
    </w:p>
    <w:p w:rsidR="008C5EB7" w:rsidRDefault="008C5EB7" w:rsidP="008C5EB7">
      <w:pPr>
        <w:pStyle w:val="Bezatstarpm"/>
        <w:ind w:firstLine="0"/>
        <w:jc w:val="left"/>
        <w:rPr>
          <w:rFonts w:ascii="Arial" w:eastAsia="Calibri" w:hAnsi="Arial" w:cs="Arial"/>
          <w:b/>
        </w:rPr>
      </w:pPr>
      <w:r w:rsidRPr="00C420D5">
        <w:rPr>
          <w:rFonts w:ascii="Arial" w:eastAsia="Calibri" w:hAnsi="Arial" w:cs="Arial"/>
          <w:b/>
        </w:rPr>
        <w:t xml:space="preserve">Pašnovērtējums par projekta </w:t>
      </w:r>
      <w:r>
        <w:rPr>
          <w:rFonts w:ascii="Arial" w:eastAsia="Calibri" w:hAnsi="Arial" w:cs="Arial"/>
          <w:b/>
        </w:rPr>
        <w:t>“</w:t>
      </w:r>
      <w:r w:rsidRPr="00C420D5">
        <w:rPr>
          <w:rFonts w:ascii="Arial" w:eastAsia="Calibri" w:hAnsi="Arial" w:cs="Arial"/>
          <w:b/>
          <w:color w:val="FF0000"/>
        </w:rPr>
        <w:t>NOSAUKUMS</w:t>
      </w:r>
      <w:r>
        <w:rPr>
          <w:rFonts w:ascii="Arial" w:eastAsia="Calibri" w:hAnsi="Arial" w:cs="Arial"/>
          <w:b/>
        </w:rPr>
        <w:t xml:space="preserve">” </w:t>
      </w:r>
      <w:r w:rsidRPr="00C420D5">
        <w:rPr>
          <w:rFonts w:ascii="Arial" w:eastAsia="Calibri" w:hAnsi="Arial" w:cs="Arial"/>
          <w:b/>
        </w:rPr>
        <w:t xml:space="preserve">atbilstību vietējās attīstības stratēģijā attiecīgajai rīcībai noteiktajiem projektu </w:t>
      </w:r>
      <w:r>
        <w:rPr>
          <w:rFonts w:ascii="Arial" w:eastAsia="Calibri" w:hAnsi="Arial" w:cs="Arial"/>
          <w:b/>
        </w:rPr>
        <w:t>vērtēšanas kritērijiem</w:t>
      </w:r>
    </w:p>
    <w:p w:rsidR="008C5EB7" w:rsidRDefault="008C5EB7" w:rsidP="008C5EB7">
      <w:pPr>
        <w:pStyle w:val="Bezatstarpm"/>
        <w:ind w:firstLine="0"/>
        <w:jc w:val="center"/>
        <w:rPr>
          <w:rFonts w:ascii="Arial" w:eastAsia="Calibri" w:hAnsi="Arial" w:cs="Arial"/>
          <w:b/>
          <w:sz w:val="22"/>
          <w:szCs w:val="22"/>
        </w:rPr>
      </w:pPr>
    </w:p>
    <w:p w:rsidR="008C5EB7" w:rsidRDefault="008C5EB7" w:rsidP="008C5EB7">
      <w:pPr>
        <w:pStyle w:val="Bezatstarpm"/>
        <w:ind w:firstLine="0"/>
        <w:rPr>
          <w:rFonts w:ascii="Arial" w:hAnsi="Arial" w:cs="Arial"/>
          <w:sz w:val="22"/>
          <w:szCs w:val="22"/>
        </w:rPr>
      </w:pPr>
      <w:r>
        <w:rPr>
          <w:rFonts w:ascii="Arial" w:hAnsi="Arial" w:cs="Arial"/>
          <w:b/>
          <w:sz w:val="22"/>
          <w:szCs w:val="22"/>
        </w:rPr>
        <w:t xml:space="preserve">Rīcībai 1.2. </w:t>
      </w:r>
      <w:r>
        <w:rPr>
          <w:rFonts w:ascii="Arial" w:hAnsi="Arial" w:cs="Arial"/>
          <w:sz w:val="22"/>
          <w:szCs w:val="22"/>
        </w:rPr>
        <w:t>Atbalsts lauksaimniecības produktu pārstrādei, tai skaitā pašu saražotās produkcijas iepakošanai, tās realizēšanai tirgū, kā arī kvalitatīvu darba apstākļu radīšanai, darbinieku kompetenču un produktivitātes celšanai</w:t>
      </w:r>
    </w:p>
    <w:p w:rsidR="008C5EB7" w:rsidRDefault="008C5EB7" w:rsidP="008C5EB7">
      <w:pPr>
        <w:pStyle w:val="Bezatstarpm"/>
        <w:ind w:firstLine="0"/>
        <w:rPr>
          <w:rFonts w:ascii="Arial" w:hAnsi="Arial" w:cs="Arial"/>
          <w:sz w:val="22"/>
          <w:szCs w:val="22"/>
        </w:rPr>
      </w:pPr>
    </w:p>
    <w:p w:rsidR="008C5EB7" w:rsidRDefault="008C5EB7" w:rsidP="008C5EB7">
      <w:pPr>
        <w:pStyle w:val="Bezatstarpm"/>
        <w:ind w:firstLine="0"/>
        <w:rPr>
          <w:rFonts w:ascii="Arial" w:hAnsi="Arial" w:cs="Arial"/>
          <w:sz w:val="22"/>
          <w:szCs w:val="22"/>
        </w:rPr>
      </w:pPr>
      <w:r>
        <w:rPr>
          <w:rFonts w:ascii="Arial" w:hAnsi="Arial" w:cs="Arial"/>
          <w:sz w:val="22"/>
          <w:szCs w:val="22"/>
        </w:rPr>
        <w:t>Biedrības “Krāslavas rajona partnerība” projektu konkursu 6. kārta 8.04.- 8.05. 2019.</w:t>
      </w:r>
    </w:p>
    <w:p w:rsidR="008C5EB7" w:rsidRDefault="008C5EB7" w:rsidP="008C5EB7">
      <w:pPr>
        <w:pStyle w:val="Bezatstarpm"/>
        <w:ind w:firstLine="0"/>
        <w:rPr>
          <w:rFonts w:ascii="Arial" w:hAnsi="Arial" w:cs="Arial"/>
          <w:sz w:val="22"/>
          <w:szCs w:val="22"/>
        </w:rPr>
      </w:pPr>
    </w:p>
    <w:p w:rsidR="008C5EB7" w:rsidRDefault="008C5EB7" w:rsidP="008C5EB7">
      <w:pPr>
        <w:ind w:firstLine="0"/>
        <w:rPr>
          <w:rFonts w:ascii="Arial" w:eastAsia="Calibri" w:hAnsi="Arial" w:cs="Arial"/>
          <w:sz w:val="22"/>
          <w:szCs w:val="22"/>
        </w:rPr>
      </w:pPr>
      <w:r>
        <w:rPr>
          <w:rFonts w:ascii="Arial" w:eastAsia="Calibri" w:hAnsi="Arial" w:cs="Arial"/>
          <w:sz w:val="22"/>
          <w:szCs w:val="22"/>
        </w:rPr>
        <w:t>Minimālais punktu skaits, kas projektam ir jāiegūst, lai tas būtu atbilstošs SVVA stratēģijai – 15</w:t>
      </w:r>
    </w:p>
    <w:p w:rsidR="00031A6C" w:rsidRDefault="00031A6C" w:rsidP="008C5EB7">
      <w:pPr>
        <w:ind w:firstLine="0"/>
        <w:rPr>
          <w:rFonts w:ascii="Arial" w:eastAsia="Calibri" w:hAnsi="Arial" w:cs="Arial"/>
          <w:sz w:val="22"/>
          <w:szCs w:val="22"/>
        </w:rPr>
      </w:pPr>
      <w:bookmarkStart w:id="0" w:name="_GoBack"/>
      <w:bookmarkEnd w:id="0"/>
    </w:p>
    <w:p w:rsidR="00031A6C" w:rsidRPr="00170494" w:rsidRDefault="00031A6C" w:rsidP="00031A6C">
      <w:pPr>
        <w:ind w:firstLine="0"/>
        <w:jc w:val="center"/>
        <w:rPr>
          <w:rFonts w:ascii="Arial" w:eastAsia="Calibri" w:hAnsi="Arial" w:cs="Arial"/>
          <w:b/>
          <w:sz w:val="28"/>
          <w:szCs w:val="28"/>
        </w:rPr>
      </w:pPr>
      <w:r w:rsidRPr="00170494">
        <w:rPr>
          <w:rFonts w:ascii="Arial" w:eastAsia="Calibri" w:hAnsi="Arial" w:cs="Arial"/>
          <w:b/>
          <w:sz w:val="28"/>
          <w:szCs w:val="28"/>
        </w:rPr>
        <w:t>Vispārējie vērtēšanas kritēriji</w:t>
      </w:r>
    </w:p>
    <w:p w:rsidR="008C5EB7" w:rsidRDefault="008C5EB7" w:rsidP="008C5EB7">
      <w:pPr>
        <w:rPr>
          <w:rFonts w:ascii="Arial" w:hAnsi="Arial" w:cs="Arial"/>
          <w:sz w:val="22"/>
          <w:szCs w:val="22"/>
        </w:rPr>
      </w:pPr>
    </w:p>
    <w:tbl>
      <w:tblPr>
        <w:tblpPr w:leftFromText="180" w:rightFromText="180" w:vertAnchor="text" w:tblpX="-77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5"/>
        <w:gridCol w:w="4109"/>
        <w:gridCol w:w="1842"/>
        <w:gridCol w:w="1308"/>
        <w:gridCol w:w="1418"/>
        <w:gridCol w:w="3543"/>
      </w:tblGrid>
      <w:tr w:rsidR="008C5EB7" w:rsidTr="003B4FC1">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ind w:firstLine="0"/>
              <w:rPr>
                <w:rFonts w:ascii="Arial" w:hAnsi="Arial" w:cs="Arial"/>
                <w:b/>
                <w:sz w:val="22"/>
                <w:szCs w:val="22"/>
              </w:rPr>
            </w:pPr>
            <w:r>
              <w:rPr>
                <w:rFonts w:ascii="Arial" w:hAnsi="Arial" w:cs="Arial"/>
                <w:b/>
                <w:sz w:val="22"/>
                <w:szCs w:val="22"/>
              </w:rPr>
              <w:t>Nr.</w:t>
            </w:r>
          </w:p>
          <w:p w:rsidR="008C5EB7" w:rsidRDefault="008C5EB7" w:rsidP="003B4FC1">
            <w:pPr>
              <w:ind w:firstLine="0"/>
              <w:rPr>
                <w:rFonts w:ascii="Arial" w:hAnsi="Arial" w:cs="Arial"/>
                <w:b/>
                <w:sz w:val="22"/>
                <w:szCs w:val="22"/>
              </w:rPr>
            </w:pPr>
            <w:r>
              <w:rPr>
                <w:rFonts w:ascii="Arial" w:hAnsi="Arial" w:cs="Arial"/>
                <w:b/>
                <w:sz w:val="22"/>
                <w:szCs w:val="22"/>
              </w:rPr>
              <w:t>p.k.</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jc w:val="center"/>
              <w:rPr>
                <w:rFonts w:ascii="Arial" w:hAnsi="Arial" w:cs="Arial"/>
                <w:b/>
                <w:sz w:val="22"/>
                <w:szCs w:val="22"/>
              </w:rPr>
            </w:pPr>
            <w:r>
              <w:rPr>
                <w:rFonts w:ascii="Arial" w:hAnsi="Arial" w:cs="Arial"/>
                <w:b/>
                <w:sz w:val="22"/>
                <w:szCs w:val="22"/>
              </w:rPr>
              <w:t>Kritēriji</w:t>
            </w:r>
          </w:p>
        </w:tc>
        <w:tc>
          <w:tcPr>
            <w:tcW w:w="41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jc w:val="center"/>
              <w:rPr>
                <w:rFonts w:ascii="Arial" w:hAnsi="Arial" w:cs="Arial"/>
                <w:b/>
                <w:sz w:val="22"/>
                <w:szCs w:val="22"/>
              </w:rPr>
            </w:pPr>
            <w:r>
              <w:rPr>
                <w:rFonts w:ascii="Arial" w:hAnsi="Arial" w:cs="Arial"/>
                <w:b/>
                <w:sz w:val="22"/>
                <w:szCs w:val="22"/>
              </w:rPr>
              <w:t>Kritēriju skaidrojums</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ind w:firstLine="0"/>
              <w:rPr>
                <w:rFonts w:ascii="Arial" w:hAnsi="Arial" w:cs="Arial"/>
                <w:b/>
                <w:sz w:val="22"/>
                <w:szCs w:val="22"/>
              </w:rPr>
            </w:pPr>
            <w:r>
              <w:rPr>
                <w:rFonts w:ascii="Arial" w:hAnsi="Arial" w:cs="Arial"/>
                <w:b/>
                <w:sz w:val="22"/>
                <w:szCs w:val="22"/>
              </w:rPr>
              <w:t>Vērtējums/</w:t>
            </w:r>
          </w:p>
          <w:p w:rsidR="008C5EB7" w:rsidRDefault="008C5EB7" w:rsidP="003B4FC1">
            <w:pPr>
              <w:ind w:firstLine="0"/>
              <w:rPr>
                <w:rFonts w:ascii="Arial" w:hAnsi="Arial" w:cs="Arial"/>
                <w:b/>
                <w:sz w:val="22"/>
                <w:szCs w:val="22"/>
              </w:rPr>
            </w:pPr>
            <w:r>
              <w:rPr>
                <w:rFonts w:ascii="Arial" w:hAnsi="Arial" w:cs="Arial"/>
                <w:b/>
                <w:sz w:val="22"/>
                <w:szCs w:val="22"/>
              </w:rPr>
              <w:t>punkti</w:t>
            </w:r>
          </w:p>
          <w:p w:rsidR="008C5EB7" w:rsidRDefault="008C5EB7" w:rsidP="003B4FC1">
            <w:pPr>
              <w:ind w:firstLine="0"/>
              <w:rPr>
                <w:rFonts w:ascii="Arial" w:hAnsi="Arial" w:cs="Arial"/>
                <w:b/>
                <w:sz w:val="22"/>
                <w:szCs w:val="22"/>
              </w:rPr>
            </w:pPr>
            <w:r>
              <w:rPr>
                <w:rFonts w:ascii="Arial" w:hAnsi="Arial" w:cs="Arial"/>
                <w:b/>
                <w:sz w:val="22"/>
                <w:szCs w:val="22"/>
              </w:rPr>
              <w:t>(0; 0.5; 1; 1.5; 2)</w:t>
            </w:r>
          </w:p>
        </w:tc>
        <w:tc>
          <w:tcPr>
            <w:tcW w:w="272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ind w:firstLine="0"/>
              <w:rPr>
                <w:rFonts w:ascii="Arial" w:hAnsi="Arial" w:cs="Arial"/>
                <w:sz w:val="22"/>
                <w:szCs w:val="22"/>
              </w:rPr>
            </w:pPr>
            <w:r>
              <w:rPr>
                <w:rFonts w:ascii="Arial" w:hAnsi="Arial" w:cs="Arial"/>
                <w:b/>
                <w:sz w:val="22"/>
                <w:szCs w:val="22"/>
              </w:rPr>
              <w:t xml:space="preserve">Projekta iesnieguma attiecīgā sadaļa </w:t>
            </w:r>
            <w:r>
              <w:rPr>
                <w:rFonts w:ascii="Arial" w:hAnsi="Arial" w:cs="Arial"/>
                <w:sz w:val="22"/>
                <w:szCs w:val="22"/>
              </w:rPr>
              <w:t>(Atbilstoši 13.10.2015. MK not. Nr. 590 pielikumam Nr.1)</w:t>
            </w:r>
          </w:p>
        </w:tc>
        <w:tc>
          <w:tcPr>
            <w:tcW w:w="3543" w:type="dxa"/>
            <w:tcBorders>
              <w:top w:val="single" w:sz="4" w:space="0" w:color="auto"/>
              <w:left w:val="single" w:sz="4" w:space="0" w:color="auto"/>
              <w:bottom w:val="single" w:sz="4" w:space="0" w:color="auto"/>
              <w:right w:val="single" w:sz="4" w:space="0" w:color="auto"/>
            </w:tcBorders>
            <w:shd w:val="clear" w:color="auto" w:fill="D9D9D9"/>
          </w:tcPr>
          <w:p w:rsidR="008C5EB7" w:rsidRPr="00AD74B3" w:rsidRDefault="008C5EB7" w:rsidP="003B4FC1">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8C5EB7" w:rsidRDefault="008C5EB7" w:rsidP="003B4FC1">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8C5EB7" w:rsidTr="003B4FC1">
        <w:tc>
          <w:tcPr>
            <w:tcW w:w="11761" w:type="dxa"/>
            <w:gridSpan w:val="6"/>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rPr>
                <w:rFonts w:ascii="Arial" w:hAnsi="Arial" w:cs="Arial"/>
                <w:b/>
                <w:sz w:val="22"/>
                <w:szCs w:val="22"/>
              </w:rPr>
            </w:pPr>
            <w:r>
              <w:rPr>
                <w:rFonts w:ascii="Arial" w:hAnsi="Arial" w:cs="Arial"/>
                <w:b/>
                <w:sz w:val="22"/>
                <w:szCs w:val="22"/>
              </w:rPr>
              <w:t>1. Projektu atbilstība SVVA stratēģijai</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rPr>
                <w:rFonts w:ascii="Arial" w:hAnsi="Arial" w:cs="Arial"/>
                <w:b/>
                <w:sz w:val="22"/>
                <w:szCs w:val="22"/>
              </w:rPr>
            </w:pPr>
          </w:p>
        </w:tc>
      </w:tr>
      <w:tr w:rsidR="008C5EB7" w:rsidTr="003B4FC1">
        <w:trPr>
          <w:trHeight w:val="566"/>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1.1.</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rPr>
                <w:rFonts w:ascii="Arial" w:hAnsi="Arial" w:cs="Arial"/>
                <w:sz w:val="22"/>
                <w:szCs w:val="22"/>
              </w:rPr>
            </w:pPr>
            <w:r>
              <w:rPr>
                <w:rFonts w:ascii="Arial" w:hAnsi="Arial" w:cs="Arial"/>
                <w:sz w:val="22"/>
                <w:szCs w:val="22"/>
              </w:rPr>
              <w:t>Projekts atbilsts SVVA stratēģijas mērķim un ir saskaņā ar rīcības plānā noteikto rīcību un VRG darbības teritoriju</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rPr>
                <w:rFonts w:ascii="Arial" w:hAnsi="Arial" w:cs="Arial"/>
                <w:sz w:val="22"/>
                <w:szCs w:val="22"/>
              </w:rPr>
            </w:pPr>
            <w:r>
              <w:rPr>
                <w:rFonts w:ascii="Arial" w:hAnsi="Arial" w:cs="Arial"/>
                <w:sz w:val="22"/>
                <w:szCs w:val="22"/>
              </w:rPr>
              <w:t>Atbilst</w:t>
            </w:r>
          </w:p>
        </w:tc>
        <w:tc>
          <w:tcPr>
            <w:tcW w:w="1842" w:type="dxa"/>
            <w:tcBorders>
              <w:top w:val="single" w:sz="4" w:space="0" w:color="auto"/>
              <w:left w:val="single" w:sz="4" w:space="0" w:color="auto"/>
              <w:bottom w:val="single" w:sz="4" w:space="0" w:color="auto"/>
              <w:right w:val="single" w:sz="4" w:space="0" w:color="auto"/>
            </w:tcBorders>
          </w:tcPr>
          <w:p w:rsidR="008C5EB7" w:rsidRDefault="008C5EB7" w:rsidP="003B4FC1">
            <w:pPr>
              <w:jc w:val="center"/>
              <w:rPr>
                <w:rFonts w:ascii="Arial" w:hAnsi="Arial" w:cs="Arial"/>
                <w:sz w:val="22"/>
                <w:szCs w:val="22"/>
              </w:rPr>
            </w:pPr>
          </w:p>
        </w:tc>
        <w:tc>
          <w:tcPr>
            <w:tcW w:w="1308"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Veic atzīmi „x” pie atbilstošā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70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Neatbilst (projekti, kas neatbilst vietējās attīstības stratēģijas rīcības plānā iekļautajai attiecīgajai rīcībai un VRG darbības teritorijai, tālāk netiek vērtēti)</w:t>
            </w:r>
          </w:p>
        </w:tc>
        <w:tc>
          <w:tcPr>
            <w:tcW w:w="1842" w:type="dxa"/>
            <w:tcBorders>
              <w:top w:val="single" w:sz="4" w:space="0" w:color="auto"/>
              <w:left w:val="single" w:sz="4" w:space="0" w:color="auto"/>
              <w:bottom w:val="single" w:sz="4" w:space="0" w:color="auto"/>
              <w:right w:val="single" w:sz="4" w:space="0" w:color="auto"/>
            </w:tcBorders>
          </w:tcPr>
          <w:p w:rsidR="008C5EB7" w:rsidRDefault="008C5EB7" w:rsidP="003B4FC1">
            <w:pPr>
              <w:jc w:val="center"/>
              <w:rPr>
                <w:rFonts w:ascii="Arial" w:hAnsi="Arial" w:cs="Arial"/>
                <w:sz w:val="22"/>
                <w:szCs w:val="22"/>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30"/>
        </w:trPr>
        <w:tc>
          <w:tcPr>
            <w:tcW w:w="11761" w:type="dxa"/>
            <w:gridSpan w:val="6"/>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rPr>
                <w:rFonts w:ascii="Arial" w:hAnsi="Arial" w:cs="Arial"/>
                <w:b/>
                <w:sz w:val="22"/>
                <w:szCs w:val="22"/>
              </w:rPr>
            </w:pPr>
            <w:r>
              <w:rPr>
                <w:rFonts w:ascii="Arial" w:hAnsi="Arial" w:cs="Arial"/>
                <w:b/>
                <w:sz w:val="22"/>
                <w:szCs w:val="22"/>
              </w:rPr>
              <w:t>2. Vispārējie kritēriji</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rPr>
                <w:rFonts w:ascii="Arial" w:hAnsi="Arial" w:cs="Arial"/>
                <w:b/>
                <w:sz w:val="22"/>
                <w:szCs w:val="22"/>
              </w:rPr>
            </w:pPr>
          </w:p>
        </w:tc>
      </w:tr>
      <w:tr w:rsidR="008C5EB7" w:rsidTr="003B4FC1">
        <w:trPr>
          <w:trHeight w:val="392"/>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2.1.</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iesniegumam </w:t>
            </w:r>
            <w:r>
              <w:rPr>
                <w:rFonts w:ascii="Arial" w:hAnsi="Arial" w:cs="Arial"/>
                <w:sz w:val="22"/>
                <w:szCs w:val="22"/>
              </w:rPr>
              <w:lastRenderedPageBreak/>
              <w:t>pievienoti visi nepieciešamie pavaddokumenti</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lastRenderedPageBreak/>
              <w:t>Projekta iesniegums un tā pavaddokumenti ir LAD EPS</w:t>
            </w:r>
            <w:r>
              <w:rPr>
                <w:rFonts w:ascii="Arial" w:hAnsi="Arial" w:cs="Arial"/>
                <w:sz w:val="22"/>
                <w:szCs w:val="22"/>
                <w:vertAlign w:val="superscript"/>
              </w:rPr>
              <w:footnoteReference w:id="1"/>
            </w:r>
            <w:r>
              <w:rPr>
                <w:rFonts w:ascii="Arial" w:hAnsi="Arial" w:cs="Arial"/>
                <w:sz w:val="22"/>
                <w:szCs w:val="22"/>
              </w:rPr>
              <w:t xml:space="preserve"> sistēmā </w:t>
            </w:r>
            <w:r>
              <w:rPr>
                <w:rFonts w:ascii="Arial" w:hAnsi="Arial" w:cs="Arial"/>
                <w:sz w:val="22"/>
                <w:szCs w:val="22"/>
              </w:rPr>
              <w:lastRenderedPageBreak/>
              <w:t>un tie ir noformēti atbilstoši normatīvajiem aktiem, kas nosaka dokumentu izstrādāšanas un noformēšanas prasības (Ministru kabineta 2018. gada 4. septembra noteikumi Nr. 558 „Dokumentu izstrādāšanas un noformēšanas prasības”)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lastRenderedPageBreak/>
              <w:t>1</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D.1.</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jc w:val="center"/>
              <w:rPr>
                <w:rFonts w:ascii="Arial" w:hAnsi="Arial" w:cs="Arial"/>
                <w:sz w:val="22"/>
                <w:szCs w:val="22"/>
              </w:rPr>
            </w:pPr>
          </w:p>
        </w:tc>
      </w:tr>
      <w:tr w:rsidR="008C5EB7" w:rsidTr="003B4FC1">
        <w:trPr>
          <w:trHeight w:val="39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iesniegums un tā pavaddokumenti ir LAD EPS</w:t>
            </w:r>
            <w:r>
              <w:rPr>
                <w:rFonts w:ascii="Arial" w:hAnsi="Arial" w:cs="Arial"/>
                <w:sz w:val="22"/>
                <w:szCs w:val="22"/>
                <w:vertAlign w:val="superscript"/>
              </w:rPr>
              <w:footnoteReference w:id="2"/>
            </w:r>
            <w:r>
              <w:rPr>
                <w:rFonts w:ascii="Arial" w:hAnsi="Arial" w:cs="Arial"/>
                <w:sz w:val="22"/>
                <w:szCs w:val="22"/>
              </w:rPr>
              <w:t xml:space="preserve"> sistēmā, bet tie nav noformēti atbilstoši normatīvajiem aktiem, kas nosaka dokumentu izstrādāšanas un noformēšanas prasības (Ministru kabineta 2018.gada 4.septembra noteikumi Nr.558 „Dokumentu izstrādāšanas un noformēšanas prasības”)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p w:rsidR="008C5EB7" w:rsidRDefault="008C5EB7" w:rsidP="003B4FC1">
            <w:pPr>
              <w:tabs>
                <w:tab w:val="left" w:pos="1425"/>
              </w:tabs>
              <w:rPr>
                <w:rFonts w:ascii="Arial" w:hAnsi="Arial" w:cs="Arial"/>
                <w:sz w:val="22"/>
                <w:szCs w:val="22"/>
              </w:rPr>
            </w:pPr>
            <w:r>
              <w:rPr>
                <w:rFonts w:ascii="Arial" w:hAnsi="Arial" w:cs="Arial"/>
                <w:sz w:val="22"/>
                <w:szCs w:val="22"/>
              </w:rPr>
              <w:tab/>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Nav iesniegti visi nepieciešamie pavaddokumenti </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420"/>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2.2.</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Atbalsta pretendenta apstiprināto projektu skaits SVVA stratēģijas īstenošanas periodā VRG teritorijā</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Atbalsta pretendentam nav apstiprinātu LEADER projektu SVVA stratēģijas īstenošanas periodā VRG teritorijā</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45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Atbalsta pretendents ir īstenojis LEADER projektus SVVA stratēģijas īstenošanas periodā VRG teritorijā (Par katru īstenoto LEADER projektu tiek noņemti 0.5 punkti. Par 4 un vairāk īstenotiem projektiem tiek piešķirti 0 punkti.)</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1.5 – 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855"/>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lastRenderedPageBreak/>
              <w:t>2.3.</w:t>
            </w:r>
          </w:p>
        </w:tc>
        <w:tc>
          <w:tcPr>
            <w:tcW w:w="2125" w:type="dxa"/>
            <w:vMerge w:val="restart"/>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r>
              <w:rPr>
                <w:rFonts w:ascii="Arial" w:hAnsi="Arial" w:cs="Arial"/>
                <w:sz w:val="22"/>
                <w:szCs w:val="22"/>
              </w:rPr>
              <w:t xml:space="preserve">Atbalsta pretendenta darbība reģistrēta VRG darbības teritorijā </w:t>
            </w:r>
          </w:p>
          <w:p w:rsidR="008C5EB7" w:rsidRDefault="008C5EB7" w:rsidP="003B4FC1">
            <w:pPr>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A.1. </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2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94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Fiziska persona – līdz projekta iesniegšanai nav reģistrēta VRG darbības teritorijā, juridiskās personas adrese vai struktūrvienība – līdz projekta iesniegšanai nav reģistrēta VRG darbības teritorijā</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 xml:space="preserve">1 </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555"/>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2.4.</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iesniedzēja kapacitāte</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apraksts sniedz pārliecību par atbalsta pretendenta spēju (finanšu un vadības kapacitāti) sasniegt projekta mērķi un rezultātus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A.1.; A.2; A.3.; B.4; B.5; B.6; B.15 </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30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8C5EB7">
            <w:pPr>
              <w:ind w:firstLine="0"/>
              <w:rPr>
                <w:rFonts w:ascii="Arial" w:hAnsi="Arial" w:cs="Arial"/>
                <w:sz w:val="22"/>
                <w:szCs w:val="22"/>
              </w:rPr>
            </w:pPr>
            <w:r>
              <w:rPr>
                <w:rFonts w:ascii="Arial" w:hAnsi="Arial" w:cs="Arial"/>
                <w:sz w:val="22"/>
                <w:szCs w:val="22"/>
              </w:rPr>
              <w:t>Projekta apraksts nesniedz pārliecību par atbalsta pretendenta spēju (finanšu un vadības kapacitāti) sasniegt projekta mērķi un rezultātus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585"/>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2.5.</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sagatavotība un pamatojums</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Projektā skaidri aprakstīta esošā situācija un pamatotas aktivitātes, kā sasniegt plānoto mērķi, pievienoti visi nepieciešamie dokumenti</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right="-107" w:firstLine="0"/>
              <w:rPr>
                <w:rFonts w:ascii="Arial" w:hAnsi="Arial" w:cs="Arial"/>
                <w:sz w:val="22"/>
                <w:szCs w:val="22"/>
              </w:rPr>
            </w:pPr>
            <w:r>
              <w:rPr>
                <w:rFonts w:ascii="Arial" w:hAnsi="Arial" w:cs="Arial"/>
                <w:sz w:val="22"/>
                <w:szCs w:val="22"/>
              </w:rPr>
              <w:t xml:space="preserve">B.5.;B.6; </w:t>
            </w:r>
          </w:p>
          <w:p w:rsidR="008C5EB7" w:rsidRDefault="008C5EB7" w:rsidP="003B4FC1">
            <w:pPr>
              <w:ind w:right="-107" w:firstLine="0"/>
              <w:rPr>
                <w:rFonts w:ascii="Arial" w:hAnsi="Arial" w:cs="Arial"/>
                <w:sz w:val="22"/>
                <w:szCs w:val="22"/>
              </w:rPr>
            </w:pPr>
            <w:proofErr w:type="spellStart"/>
            <w:r>
              <w:rPr>
                <w:rFonts w:ascii="Arial" w:hAnsi="Arial" w:cs="Arial"/>
                <w:sz w:val="22"/>
                <w:szCs w:val="22"/>
              </w:rPr>
              <w:t>C.sadaļa</w:t>
            </w:r>
            <w:proofErr w:type="spellEnd"/>
            <w:r>
              <w:rPr>
                <w:rFonts w:ascii="Arial" w:hAnsi="Arial" w:cs="Arial"/>
                <w:sz w:val="22"/>
                <w:szCs w:val="22"/>
              </w:rPr>
              <w:t xml:space="preserve">; </w:t>
            </w:r>
            <w:proofErr w:type="spellStart"/>
            <w:r>
              <w:rPr>
                <w:rFonts w:ascii="Arial" w:hAnsi="Arial" w:cs="Arial"/>
                <w:sz w:val="22"/>
                <w:szCs w:val="22"/>
              </w:rPr>
              <w:t>D.sadaļa</w:t>
            </w:r>
            <w:proofErr w:type="spellEnd"/>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right="-107" w:firstLine="0"/>
              <w:rPr>
                <w:rFonts w:ascii="Arial" w:hAnsi="Arial" w:cs="Arial"/>
                <w:sz w:val="22"/>
                <w:szCs w:val="22"/>
              </w:rPr>
            </w:pPr>
          </w:p>
        </w:tc>
      </w:tr>
      <w:tr w:rsidR="008C5EB7" w:rsidTr="003B4FC1">
        <w:trPr>
          <w:trHeight w:val="5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 xml:space="preserve">Projektā nepilnīgi aprakstīta esošā situācija un/vai aktivitātes, kā sasniegt plānoto mērķi (t.sk. nav iesniegti visi nepieciešamie dokumenti, arī tie, kurus MK noteikumi ļauj iesniegt ar novēlotu </w:t>
            </w:r>
            <w:proofErr w:type="spellStart"/>
            <w:r>
              <w:rPr>
                <w:rFonts w:ascii="Arial" w:hAnsi="Arial" w:cs="Arial"/>
                <w:sz w:val="22"/>
                <w:szCs w:val="22"/>
              </w:rPr>
              <w:t>temiņu</w:t>
            </w:r>
            <w:proofErr w:type="spellEnd"/>
            <w:r>
              <w:rPr>
                <w:rFonts w:ascii="Arial" w:hAnsi="Arial" w:cs="Arial"/>
                <w:sz w:val="22"/>
                <w:szCs w:val="22"/>
              </w:rPr>
              <w:t>, t.i. 6 vai 9 mēnešu laikā pēc projekta iesnieguma apstiprināšanas LAD)</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48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iesniegumam pievienotā dokumentācija (pavaddokumenti) neliecina par projekta sagatavotību un nepārliecina par projekta iesniedzēja spēju uzturēt projekta rezultātus vismaz 5 gadus pēc projekta noslēguma</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656"/>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nav aprakstīta esošā situācija un/vai aktivitātes, kā sasniegt plānoto mērķi</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70"/>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2.6.*</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mērķis ir reāls, sasniedzams, izmērāms konkrētā budžeta, laika un cilvēkresursu ziņā</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rPr>
                <w:rFonts w:ascii="Arial" w:hAnsi="Arial" w:cs="Arial"/>
                <w:sz w:val="22"/>
                <w:szCs w:val="22"/>
              </w:rPr>
            </w:pPr>
            <w:r>
              <w:rPr>
                <w:rFonts w:ascii="Arial" w:hAnsi="Arial" w:cs="Arial"/>
                <w:sz w:val="22"/>
                <w:szCs w:val="22"/>
              </w:rPr>
              <w:t>Atbilst</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B.4; B.5.; B.9; B.10; pavaddokumenti </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5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mērķis ir pārāk plaši aprakstīts, vispārīgs un nepaskaidro, ko paredzēts sasniegt projekta rezultātā</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01"/>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rPr>
                <w:rFonts w:ascii="Arial" w:hAnsi="Arial" w:cs="Arial"/>
                <w:sz w:val="22"/>
                <w:szCs w:val="22"/>
              </w:rPr>
            </w:pPr>
            <w:r>
              <w:rPr>
                <w:rFonts w:ascii="Arial" w:hAnsi="Arial" w:cs="Arial"/>
                <w:sz w:val="22"/>
                <w:szCs w:val="22"/>
              </w:rPr>
              <w:t>Neatbilst</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300"/>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2.7.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Skaidri definēts mērķa tirgus </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B.5.; B.6.</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30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Mērķauditorijas apraksts ir vispārīgs, identificēti tiešā labuma guvēji viena novada mērogā, noieta tirgus analizēts tikai viena novada teritorijā. </w:t>
            </w:r>
          </w:p>
          <w:p w:rsidR="008C5EB7" w:rsidRDefault="008C5EB7" w:rsidP="003B4FC1">
            <w:pPr>
              <w:ind w:firstLine="0"/>
              <w:rPr>
                <w:rFonts w:ascii="Arial" w:hAnsi="Arial" w:cs="Arial"/>
                <w:sz w:val="22"/>
                <w:szCs w:val="22"/>
              </w:rPr>
            </w:pPr>
            <w:r>
              <w:rPr>
                <w:rFonts w:ascii="Arial" w:hAnsi="Arial" w:cs="Arial"/>
                <w:sz w:val="22"/>
                <w:szCs w:val="22"/>
              </w:rPr>
              <w:t>Informācija par vajadzībām sniegta vispārīgi un nevieš skaidrību par projektu iesniedzēja vajadzībām veicināt darbinieku produktivitātes un kompetenču celšanu.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p w:rsidR="008C5EB7" w:rsidRDefault="008C5EB7" w:rsidP="003B4FC1">
            <w:pPr>
              <w:tabs>
                <w:tab w:val="left" w:pos="1365"/>
              </w:tabs>
              <w:rPr>
                <w:rFonts w:ascii="Arial" w:hAnsi="Arial" w:cs="Arial"/>
                <w:sz w:val="22"/>
                <w:szCs w:val="22"/>
              </w:rPr>
            </w:pPr>
            <w:r>
              <w:rPr>
                <w:rFonts w:ascii="Arial" w:hAnsi="Arial" w:cs="Arial"/>
                <w:sz w:val="22"/>
                <w:szCs w:val="22"/>
              </w:rPr>
              <w:tab/>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5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595"/>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2.8.</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budžets</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budžets ir detalizēti atspoguļots, plānotās izmaksas ir pamatotas un orientētas uz mērķa sasniegšanu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B.5.; B.6.; B.8.; B.9.; B.10.</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45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Projekta budžets atspoguļots nepilnīgi un/vai plānotās izmaksas ir daļēji pamatotas un orientētas uz mērķa sasniegšanu (piemēram, nav korekti veikta cenu salīdzināšana, ir nekorekti aizpildīta naudas plūsma u.c.)</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41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budžetā plānotās izmaksas nav pamatots un/vai nav orientētas uz mērķa sasniegšanu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557"/>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2.9.</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īstenošanas risku </w:t>
            </w:r>
            <w:proofErr w:type="spellStart"/>
            <w:r>
              <w:rPr>
                <w:rFonts w:ascii="Arial" w:hAnsi="Arial" w:cs="Arial"/>
                <w:sz w:val="22"/>
                <w:szCs w:val="22"/>
              </w:rPr>
              <w:t>izvērtējums</w:t>
            </w:r>
            <w:proofErr w:type="spellEnd"/>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 xml:space="preserve">Projekta iesniegumā ir veikts iespējamo risku </w:t>
            </w:r>
            <w:proofErr w:type="spellStart"/>
            <w:r>
              <w:rPr>
                <w:rFonts w:ascii="Arial" w:hAnsi="Arial" w:cs="Arial"/>
                <w:sz w:val="22"/>
                <w:szCs w:val="22"/>
              </w:rPr>
              <w:t>izvērtējums</w:t>
            </w:r>
            <w:proofErr w:type="spellEnd"/>
            <w:r>
              <w:rPr>
                <w:rFonts w:ascii="Arial" w:hAnsi="Arial" w:cs="Arial"/>
                <w:sz w:val="22"/>
                <w:szCs w:val="22"/>
              </w:rPr>
              <w:t xml:space="preserve"> un aprakstīti pasākumi identificēto risku novēršanai vai </w:t>
            </w:r>
            <w:r>
              <w:rPr>
                <w:rFonts w:ascii="Arial" w:hAnsi="Arial" w:cs="Arial"/>
                <w:sz w:val="22"/>
                <w:szCs w:val="22"/>
              </w:rPr>
              <w:lastRenderedPageBreak/>
              <w:t>samazināšanai, t.sk. projekta rezultātu uzturēšanas laikā</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lastRenderedPageBreak/>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B6.1.</w:t>
            </w:r>
          </w:p>
          <w:p w:rsidR="008C5EB7" w:rsidRDefault="008C5EB7" w:rsidP="003B4FC1">
            <w:pPr>
              <w:ind w:firstLine="0"/>
              <w:rPr>
                <w:rFonts w:ascii="Arial" w:hAnsi="Arial" w:cs="Arial"/>
                <w:sz w:val="22"/>
                <w:szCs w:val="22"/>
              </w:rPr>
            </w:pPr>
            <w:r>
              <w:rPr>
                <w:rFonts w:ascii="Arial" w:hAnsi="Arial" w:cs="Arial"/>
                <w:sz w:val="22"/>
                <w:szCs w:val="22"/>
              </w:rPr>
              <w:t xml:space="preserve">(Projekta iesniegumam pievienots projekta risku </w:t>
            </w:r>
            <w:proofErr w:type="spellStart"/>
            <w:r>
              <w:rPr>
                <w:rFonts w:ascii="Arial" w:hAnsi="Arial" w:cs="Arial"/>
                <w:sz w:val="22"/>
                <w:szCs w:val="22"/>
              </w:rPr>
              <w:lastRenderedPageBreak/>
              <w:t>izvērtējums</w:t>
            </w:r>
            <w:proofErr w:type="spellEnd"/>
            <w:r>
              <w:rPr>
                <w:rFonts w:ascii="Arial" w:hAnsi="Arial" w:cs="Arial"/>
                <w:sz w:val="22"/>
                <w:szCs w:val="22"/>
              </w:rPr>
              <w:t xml:space="preserve"> brīvā formā, kurā izstrādāts plāns identificēto risku novēršanai vai mazināšanai)</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2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 xml:space="preserve">Projekta iesniegumā nepilnīgi veikts iespējamo risku </w:t>
            </w:r>
            <w:proofErr w:type="spellStart"/>
            <w:r>
              <w:rPr>
                <w:rFonts w:ascii="Arial" w:hAnsi="Arial" w:cs="Arial"/>
                <w:sz w:val="22"/>
                <w:szCs w:val="22"/>
              </w:rPr>
              <w:t>izvērtējums</w:t>
            </w:r>
            <w:proofErr w:type="spellEnd"/>
            <w:r>
              <w:rPr>
                <w:rFonts w:ascii="Arial" w:hAnsi="Arial" w:cs="Arial"/>
                <w:sz w:val="22"/>
                <w:szCs w:val="22"/>
              </w:rPr>
              <w:t xml:space="preserve"> un aprakstīti pasākumi identificēto risku novēršanai vai samazināšanai, t.sk. projekta rezultātu uzturēšanas laikā</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31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iesniegumā nav veikts iespējamo risku </w:t>
            </w:r>
            <w:proofErr w:type="spellStart"/>
            <w:r>
              <w:rPr>
                <w:rFonts w:ascii="Arial" w:hAnsi="Arial" w:cs="Arial"/>
                <w:sz w:val="22"/>
                <w:szCs w:val="22"/>
              </w:rPr>
              <w:t>izvērtējums</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945"/>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2.10.*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iesniegumā pamatots, kā tiks nodrošināta projekta patstāvīga dzīvotspēja un projekta rezultāta izmantošana atbilstoši plānotajam mērķim</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B.4.; B.4.1.; B.6.; B.15.; C.1.; C.3.</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94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iesniegumā nepilnīgi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nav sniegta informācija, kā tiks nodrošināta projekta rezultātu uzturēšana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557"/>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lastRenderedPageBreak/>
              <w:t xml:space="preserve">2.11.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plānotas un aprakstītas aktivitātes projekta publicitātes nodrošināšanai un informācijas izplatīšanai</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Detalizēti aprakstīta projekta publicitāte un informācijas izplatīšana, nodrošinot atsauci uz “Krāslavas rajona partnerību” </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B.13.</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33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Aprakstīta projekta publicitāte un informācijas izplatīšana, bet nav ieplānota atsauce uz “Krāslavas rajona partnerību”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Nav aprakstīta projekta publicitāte un informācijas izplatīšana</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780"/>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2.12.*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Projektam papildus piesaistītais finansējums</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iesniedzējs piesaista papildu (privāto) finansējumu projekta aktivitāšu īstenošanai no 11 - 20%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B.9.; B.10.; C.3. </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37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iesniedzējs piesaista papildu (privāto) finansējumu projekta aktivitāšu īstenošanai līdz 10%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37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1 - 20% virs </w:t>
            </w:r>
            <w:r>
              <w:rPr>
                <w:rFonts w:ascii="Arial" w:hAnsi="Arial" w:cs="Arial"/>
                <w:sz w:val="22"/>
                <w:szCs w:val="22"/>
                <w:u w:val="single"/>
              </w:rPr>
              <w:t>projektā</w:t>
            </w:r>
            <w:r>
              <w:rPr>
                <w:rFonts w:ascii="Arial" w:hAnsi="Arial" w:cs="Arial"/>
                <w:sz w:val="22"/>
                <w:szCs w:val="22"/>
              </w:rPr>
              <w:t xml:space="preserve">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1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virs </w:t>
            </w:r>
            <w:r>
              <w:rPr>
                <w:rFonts w:ascii="Arial" w:hAnsi="Arial" w:cs="Arial"/>
                <w:sz w:val="22"/>
                <w:szCs w:val="22"/>
                <w:u w:val="single"/>
              </w:rPr>
              <w:t>projekta</w:t>
            </w:r>
            <w:r>
              <w:rPr>
                <w:rFonts w:ascii="Arial" w:hAnsi="Arial" w:cs="Arial"/>
                <w:sz w:val="22"/>
                <w:szCs w:val="22"/>
              </w:rPr>
              <w:t xml:space="preserve"> attiecināmo izmaksu summas (t.sk. PVN)</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16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iesniedzējs nepiesaista papildus (privāto) finansējumu projekta aktivitāšu īstenošanai</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 xml:space="preserve">0 </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165"/>
        </w:trPr>
        <w:tc>
          <w:tcPr>
            <w:tcW w:w="7193" w:type="dxa"/>
            <w:gridSpan w:val="3"/>
            <w:tcBorders>
              <w:top w:val="single" w:sz="4" w:space="0" w:color="auto"/>
              <w:left w:val="single" w:sz="4" w:space="0" w:color="auto"/>
              <w:bottom w:val="single" w:sz="4" w:space="0" w:color="auto"/>
              <w:right w:val="single" w:sz="4" w:space="0" w:color="auto"/>
            </w:tcBorders>
            <w:hideMark/>
          </w:tcPr>
          <w:p w:rsidR="008C5EB7" w:rsidRDefault="008C5EB7" w:rsidP="003B4FC1">
            <w:pPr>
              <w:jc w:val="right"/>
              <w:rPr>
                <w:rFonts w:ascii="Arial" w:hAnsi="Arial" w:cs="Arial"/>
                <w:b/>
                <w:sz w:val="22"/>
                <w:szCs w:val="22"/>
              </w:rPr>
            </w:pPr>
            <w:r>
              <w:rPr>
                <w:rFonts w:ascii="Arial" w:hAnsi="Arial" w:cs="Arial"/>
                <w:b/>
                <w:sz w:val="22"/>
                <w:szCs w:val="22"/>
              </w:rPr>
              <w:lastRenderedPageBreak/>
              <w:t xml:space="preserve">Vispārējo kritēriju maksimālais punktu skaits </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b/>
                <w:sz w:val="22"/>
                <w:szCs w:val="22"/>
              </w:rPr>
            </w:pPr>
            <w:r>
              <w:rPr>
                <w:rFonts w:ascii="Arial" w:hAnsi="Arial" w:cs="Arial"/>
                <w:b/>
                <w:sz w:val="22"/>
                <w:szCs w:val="22"/>
              </w:rPr>
              <w:t>22</w:t>
            </w:r>
          </w:p>
        </w:tc>
        <w:tc>
          <w:tcPr>
            <w:tcW w:w="2726" w:type="dxa"/>
            <w:gridSpan w:val="2"/>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b/>
                <w:sz w:val="22"/>
                <w:szCs w:val="22"/>
              </w:rPr>
            </w:pPr>
            <w:r>
              <w:rPr>
                <w:rFonts w:ascii="Arial" w:hAnsi="Arial" w:cs="Arial"/>
                <w:b/>
                <w:sz w:val="22"/>
                <w:szCs w:val="22"/>
              </w:rPr>
              <w:t>X</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jc w:val="center"/>
              <w:rPr>
                <w:rFonts w:ascii="Arial" w:hAnsi="Arial" w:cs="Arial"/>
                <w:b/>
                <w:sz w:val="22"/>
                <w:szCs w:val="22"/>
              </w:rPr>
            </w:pPr>
          </w:p>
        </w:tc>
      </w:tr>
    </w:tbl>
    <w:p w:rsidR="008C5EB7" w:rsidRDefault="008C5EB7" w:rsidP="008C5EB7">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8C5EB7" w:rsidRDefault="008C5EB7" w:rsidP="008C5EB7">
      <w:pPr>
        <w:rPr>
          <w:rFonts w:ascii="Arial" w:hAnsi="Arial" w:cs="Arial"/>
          <w:i/>
          <w:sz w:val="22"/>
          <w:szCs w:val="22"/>
        </w:rPr>
      </w:pPr>
      <w:r>
        <w:rPr>
          <w:rFonts w:ascii="Arial" w:hAnsi="Arial" w:cs="Arial"/>
          <w:i/>
          <w:sz w:val="22"/>
          <w:szCs w:val="22"/>
        </w:rPr>
        <w:t xml:space="preserve">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w:t>
      </w:r>
      <w:proofErr w:type="spellStart"/>
      <w:r>
        <w:rPr>
          <w:rFonts w:ascii="Arial" w:hAnsi="Arial" w:cs="Arial"/>
          <w:i/>
          <w:sz w:val="22"/>
          <w:szCs w:val="22"/>
        </w:rPr>
        <w:t>riteņkrēslu</w:t>
      </w:r>
      <w:proofErr w:type="spellEnd"/>
      <w:r>
        <w:rPr>
          <w:rFonts w:ascii="Arial" w:hAnsi="Arial" w:cs="Arial"/>
          <w:i/>
          <w:sz w:val="22"/>
          <w:szCs w:val="22"/>
        </w:rPr>
        <w:t xml:space="preserve"> vai ratiņu lietotājiem.</w:t>
      </w:r>
    </w:p>
    <w:p w:rsidR="00222A3A" w:rsidRDefault="00222A3A" w:rsidP="00222A3A">
      <w:pPr>
        <w:ind w:firstLine="0"/>
        <w:jc w:val="center"/>
        <w:rPr>
          <w:rFonts w:ascii="Arial" w:hAnsi="Arial" w:cs="Arial"/>
          <w:b/>
          <w:sz w:val="22"/>
          <w:szCs w:val="22"/>
        </w:rPr>
      </w:pPr>
    </w:p>
    <w:p w:rsidR="008C5EB7" w:rsidRDefault="008C5EB7" w:rsidP="008C5EB7">
      <w:pPr>
        <w:ind w:firstLine="0"/>
        <w:jc w:val="center"/>
        <w:rPr>
          <w:rFonts w:ascii="Arial" w:hAnsi="Arial" w:cs="Arial"/>
          <w:b/>
          <w:sz w:val="28"/>
          <w:szCs w:val="28"/>
        </w:rPr>
      </w:pPr>
      <w:r>
        <w:rPr>
          <w:rFonts w:ascii="Arial" w:hAnsi="Arial" w:cs="Arial"/>
          <w:b/>
          <w:sz w:val="28"/>
          <w:szCs w:val="28"/>
        </w:rPr>
        <w:t>Specifiskie vērtēšanas kritēriji</w:t>
      </w:r>
    </w:p>
    <w:p w:rsidR="008C5EB7" w:rsidRDefault="008C5EB7" w:rsidP="008C5EB7">
      <w:pPr>
        <w:pStyle w:val="Bezatstarpm"/>
        <w:ind w:firstLine="0"/>
        <w:rPr>
          <w:rFonts w:ascii="Arial" w:hAnsi="Arial" w:cs="Arial"/>
          <w:b/>
          <w:sz w:val="22"/>
          <w:szCs w:val="22"/>
        </w:rPr>
      </w:pPr>
      <w:r>
        <w:rPr>
          <w:rFonts w:ascii="Arial" w:hAnsi="Arial" w:cs="Arial"/>
          <w:b/>
          <w:sz w:val="22"/>
          <w:szCs w:val="22"/>
        </w:rPr>
        <w:t xml:space="preserve">Rīcībai 1.2. Atbalsts lauksaimniecības produktu pārstrādei, tai skaitā pašu saražotās produkcijas iepakošanai, tās realizēšanai tirgū, kā arī kvalitatīvu darba apstākļu radīšanai, darbinieku kompetenču un produktivitātes celšanai </w:t>
      </w:r>
    </w:p>
    <w:p w:rsidR="008C5EB7" w:rsidRDefault="008C5EB7" w:rsidP="008C5EB7">
      <w:pPr>
        <w:pStyle w:val="Bezatstarpm"/>
        <w:ind w:firstLine="0"/>
        <w:rPr>
          <w:rFonts w:ascii="Arial" w:eastAsia="Calibri" w:hAnsi="Arial" w:cs="Arial"/>
          <w:b/>
          <w:sz w:val="22"/>
          <w:szCs w:val="22"/>
        </w:rPr>
      </w:pPr>
    </w:p>
    <w:tbl>
      <w:tblPr>
        <w:tblpPr w:leftFromText="180" w:rightFromText="180" w:vertAnchor="text" w:tblpX="-635"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045"/>
        <w:gridCol w:w="4597"/>
        <w:gridCol w:w="2001"/>
        <w:gridCol w:w="2159"/>
        <w:gridCol w:w="3544"/>
      </w:tblGrid>
      <w:tr w:rsidR="008C5EB7" w:rsidTr="008C5EB7">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ind w:firstLine="0"/>
              <w:rPr>
                <w:rFonts w:ascii="Arial" w:hAnsi="Arial" w:cs="Arial"/>
                <w:b/>
                <w:sz w:val="22"/>
                <w:szCs w:val="22"/>
              </w:rPr>
            </w:pPr>
            <w:r>
              <w:rPr>
                <w:rFonts w:ascii="Arial" w:hAnsi="Arial" w:cs="Arial"/>
                <w:b/>
                <w:sz w:val="22"/>
                <w:szCs w:val="22"/>
              </w:rPr>
              <w:t>Nr.</w:t>
            </w:r>
          </w:p>
          <w:p w:rsidR="008C5EB7" w:rsidRDefault="008C5EB7" w:rsidP="003B4FC1">
            <w:pPr>
              <w:ind w:firstLine="0"/>
              <w:rPr>
                <w:rFonts w:ascii="Arial" w:hAnsi="Arial" w:cs="Arial"/>
                <w:b/>
                <w:sz w:val="22"/>
                <w:szCs w:val="22"/>
              </w:rPr>
            </w:pPr>
            <w:r>
              <w:rPr>
                <w:rFonts w:ascii="Arial" w:hAnsi="Arial" w:cs="Arial"/>
                <w:b/>
                <w:sz w:val="22"/>
                <w:szCs w:val="22"/>
              </w:rPr>
              <w:t>p.k.</w:t>
            </w:r>
          </w:p>
        </w:tc>
        <w:tc>
          <w:tcPr>
            <w:tcW w:w="20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jc w:val="center"/>
              <w:rPr>
                <w:rFonts w:ascii="Arial" w:hAnsi="Arial" w:cs="Arial"/>
                <w:b/>
                <w:sz w:val="22"/>
                <w:szCs w:val="22"/>
              </w:rPr>
            </w:pPr>
            <w:r>
              <w:rPr>
                <w:rFonts w:ascii="Arial" w:hAnsi="Arial" w:cs="Arial"/>
                <w:b/>
                <w:sz w:val="22"/>
                <w:szCs w:val="22"/>
              </w:rPr>
              <w:t>Kritēriji</w:t>
            </w:r>
          </w:p>
        </w:tc>
        <w:tc>
          <w:tcPr>
            <w:tcW w:w="45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jc w:val="center"/>
              <w:rPr>
                <w:rFonts w:ascii="Arial" w:hAnsi="Arial" w:cs="Arial"/>
                <w:b/>
                <w:sz w:val="22"/>
                <w:szCs w:val="22"/>
              </w:rPr>
            </w:pPr>
            <w:r>
              <w:rPr>
                <w:rFonts w:ascii="Arial" w:hAnsi="Arial" w:cs="Arial"/>
                <w:b/>
                <w:sz w:val="22"/>
                <w:szCs w:val="22"/>
              </w:rPr>
              <w:t>Kritēriju skaidrojums</w:t>
            </w:r>
          </w:p>
        </w:tc>
        <w:tc>
          <w:tcPr>
            <w:tcW w:w="20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ind w:firstLine="0"/>
              <w:rPr>
                <w:rFonts w:ascii="Arial" w:hAnsi="Arial" w:cs="Arial"/>
                <w:b/>
                <w:sz w:val="22"/>
                <w:szCs w:val="22"/>
              </w:rPr>
            </w:pPr>
            <w:r>
              <w:rPr>
                <w:rFonts w:ascii="Arial" w:hAnsi="Arial" w:cs="Arial"/>
                <w:b/>
                <w:sz w:val="22"/>
                <w:szCs w:val="22"/>
              </w:rPr>
              <w:t>Vērtējums/punkti</w:t>
            </w:r>
          </w:p>
          <w:p w:rsidR="008C5EB7" w:rsidRDefault="008C5EB7" w:rsidP="003B4FC1">
            <w:pPr>
              <w:ind w:left="-128" w:firstLine="0"/>
              <w:rPr>
                <w:rFonts w:ascii="Arial" w:hAnsi="Arial" w:cs="Arial"/>
                <w:b/>
                <w:sz w:val="22"/>
                <w:szCs w:val="22"/>
              </w:rPr>
            </w:pPr>
            <w:r>
              <w:rPr>
                <w:rFonts w:ascii="Arial" w:hAnsi="Arial" w:cs="Arial"/>
                <w:b/>
                <w:sz w:val="22"/>
                <w:szCs w:val="22"/>
              </w:rPr>
              <w:t xml:space="preserve">  (0; 0.5; 1; 1.5; 2)</w:t>
            </w:r>
          </w:p>
        </w:tc>
        <w:tc>
          <w:tcPr>
            <w:tcW w:w="21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ind w:firstLine="0"/>
              <w:rPr>
                <w:rFonts w:ascii="Arial" w:hAnsi="Arial" w:cs="Arial"/>
                <w:sz w:val="22"/>
                <w:szCs w:val="22"/>
              </w:rPr>
            </w:pPr>
            <w:r>
              <w:rPr>
                <w:rFonts w:ascii="Arial" w:hAnsi="Arial" w:cs="Arial"/>
                <w:b/>
                <w:sz w:val="22"/>
                <w:szCs w:val="22"/>
              </w:rPr>
              <w:t xml:space="preserve">Projekta iesnieguma attiecīgā sadaļa </w:t>
            </w:r>
            <w:r>
              <w:rPr>
                <w:rFonts w:ascii="Arial" w:hAnsi="Arial" w:cs="Arial"/>
                <w:sz w:val="22"/>
                <w:szCs w:val="22"/>
              </w:rPr>
              <w:t>(Atbilstoši 13.10.2015. MK not. Nr. 590 pielikumam Nr.1)</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rsidR="008C5EB7" w:rsidRPr="00AD74B3" w:rsidRDefault="008C5EB7" w:rsidP="008C5EB7">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8C5EB7" w:rsidRDefault="008C5EB7" w:rsidP="008C5EB7">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8C5EB7" w:rsidTr="008C5EB7">
        <w:trPr>
          <w:trHeight w:val="229"/>
        </w:trPr>
        <w:tc>
          <w:tcPr>
            <w:tcW w:w="11619" w:type="dxa"/>
            <w:gridSpan w:val="5"/>
            <w:tcBorders>
              <w:top w:val="single" w:sz="4" w:space="0" w:color="auto"/>
              <w:left w:val="single" w:sz="4" w:space="0" w:color="auto"/>
              <w:bottom w:val="single" w:sz="4" w:space="0" w:color="auto"/>
              <w:right w:val="single" w:sz="4" w:space="0" w:color="auto"/>
            </w:tcBorders>
            <w:hideMark/>
          </w:tcPr>
          <w:p w:rsidR="008C5EB7" w:rsidRDefault="008C5EB7" w:rsidP="003B4FC1">
            <w:pPr>
              <w:rPr>
                <w:rFonts w:ascii="Arial" w:hAnsi="Arial" w:cs="Arial"/>
                <w:b/>
                <w:sz w:val="22"/>
                <w:szCs w:val="22"/>
              </w:rPr>
            </w:pPr>
            <w:r>
              <w:rPr>
                <w:rFonts w:ascii="Arial" w:hAnsi="Arial" w:cs="Arial"/>
                <w:b/>
                <w:sz w:val="22"/>
                <w:szCs w:val="22"/>
              </w:rPr>
              <w:t>3. Specifiskie kritēriji</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rPr>
                <w:rFonts w:ascii="Arial" w:hAnsi="Arial" w:cs="Arial"/>
                <w:b/>
                <w:sz w:val="22"/>
                <w:szCs w:val="22"/>
              </w:rPr>
            </w:pPr>
          </w:p>
        </w:tc>
      </w:tr>
      <w:tr w:rsidR="008C5EB7" w:rsidTr="008C5EB7">
        <w:trPr>
          <w:trHeight w:val="270"/>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3.1.</w:t>
            </w:r>
            <w:r>
              <w:rPr>
                <w:rFonts w:ascii="Arial" w:hAnsi="Arial" w:cs="Arial"/>
                <w:sz w:val="22"/>
                <w:szCs w:val="22"/>
                <w:vertAlign w:val="superscript"/>
              </w:rPr>
              <w:t>#</w:t>
            </w:r>
          </w:p>
        </w:tc>
        <w:tc>
          <w:tcPr>
            <w:tcW w:w="204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mērķis</w:t>
            </w: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rezultātā tiks radīts jauns produkts (prece vai pakalpojums)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B.5.; B.6.</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rezultātā tiks attīstīts esošais produkts (prece vai pakalpojums)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56"/>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3.2.</w:t>
            </w:r>
            <w:r>
              <w:rPr>
                <w:rFonts w:ascii="Arial" w:hAnsi="Arial" w:cs="Arial"/>
                <w:sz w:val="22"/>
                <w:szCs w:val="22"/>
                <w:vertAlign w:val="superscript"/>
              </w:rPr>
              <w:t>#</w:t>
            </w:r>
          </w:p>
        </w:tc>
        <w:tc>
          <w:tcPr>
            <w:tcW w:w="2045" w:type="dxa"/>
            <w:vMerge w:val="restart"/>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r>
              <w:rPr>
                <w:rFonts w:ascii="Arial" w:hAnsi="Arial" w:cs="Arial"/>
                <w:sz w:val="22"/>
                <w:szCs w:val="22"/>
              </w:rPr>
              <w:t xml:space="preserve">Pārstrādē izmantoti (vai tiek plānoti) </w:t>
            </w:r>
            <w:r>
              <w:rPr>
                <w:rFonts w:ascii="Arial" w:hAnsi="Arial" w:cs="Arial"/>
                <w:sz w:val="22"/>
                <w:szCs w:val="22"/>
              </w:rPr>
              <w:lastRenderedPageBreak/>
              <w:t>pašaudzēti vai VRG darbības teritorijā iegūti produkti un izejvielas</w:t>
            </w:r>
          </w:p>
          <w:p w:rsidR="008C5EB7" w:rsidRDefault="008C5EB7" w:rsidP="003B4FC1">
            <w:pPr>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lastRenderedPageBreak/>
              <w:t>Vairāk par 50% no izejvielu apjoma</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B.6.1.; B.14.; B.15.</w:t>
            </w:r>
          </w:p>
          <w:p w:rsidR="008C5EB7" w:rsidRDefault="008C5EB7" w:rsidP="003B4FC1">
            <w:pPr>
              <w:ind w:firstLine="0"/>
              <w:rPr>
                <w:rFonts w:ascii="Arial" w:hAnsi="Arial" w:cs="Arial"/>
                <w:sz w:val="22"/>
                <w:szCs w:val="22"/>
              </w:rPr>
            </w:pPr>
            <w:r>
              <w:rPr>
                <w:rFonts w:ascii="Arial" w:hAnsi="Arial" w:cs="Arial"/>
                <w:sz w:val="22"/>
                <w:szCs w:val="22"/>
              </w:rPr>
              <w:t xml:space="preserve">Projekta iesniedzējs var pievienot </w:t>
            </w:r>
            <w:r>
              <w:rPr>
                <w:rFonts w:ascii="Arial" w:hAnsi="Arial" w:cs="Arial"/>
                <w:sz w:val="22"/>
                <w:szCs w:val="22"/>
              </w:rPr>
              <w:lastRenderedPageBreak/>
              <w:t>projekta iesniegumam dokumentu brīvā formā, kur apliecina produktu un izejvielu izcelsmi.</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10 – 49% no izejvielu apjoma</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1 – 9% no izejvielu apjoma</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Netiek izmantotas vietējās izejvielas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542"/>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3.3.*</w:t>
            </w:r>
          </w:p>
        </w:tc>
        <w:tc>
          <w:tcPr>
            <w:tcW w:w="204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w:t>
            </w:r>
            <w:proofErr w:type="spellStart"/>
            <w:r>
              <w:rPr>
                <w:rFonts w:ascii="Arial" w:hAnsi="Arial" w:cs="Arial"/>
                <w:sz w:val="22"/>
                <w:szCs w:val="22"/>
              </w:rPr>
              <w:t>inovitāte</w:t>
            </w:r>
            <w:proofErr w:type="spellEnd"/>
            <w:r>
              <w:rPr>
                <w:rFonts w:ascii="Arial" w:hAnsi="Arial" w:cs="Arial"/>
                <w:sz w:val="22"/>
                <w:szCs w:val="22"/>
              </w:rPr>
              <w:t xml:space="preserve"> (jauninājums) VRG darbības teritorijā (</w:t>
            </w:r>
            <w:r>
              <w:rPr>
                <w:rFonts w:ascii="Arial" w:hAnsi="Arial" w:cs="Arial"/>
                <w:i/>
                <w:sz w:val="22"/>
                <w:szCs w:val="22"/>
              </w:rPr>
              <w:t>Skat. papildus informāciju stratēģijas 2.3. sadaļā</w:t>
            </w:r>
            <w:r>
              <w:rPr>
                <w:rFonts w:ascii="Arial" w:hAnsi="Arial" w:cs="Arial"/>
                <w:sz w:val="22"/>
                <w:szCs w:val="22"/>
              </w:rPr>
              <w:t>)</w:t>
            </w: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iesniegumā pamatots, kāpēc projekts vai tā rezultāts ir inovatīvs VRG darbības teritorijā</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 xml:space="preserve">2 </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B.3.; B.6.1.; B.3.1.</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iesniegumā nav pietiekami pamatots, kāpēc projekts vai tā rezultāts ir inovatīvs VRG darbības teritorijā</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ideja nav inovatīva VRG darbības teritorijā</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615"/>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3.4.</w:t>
            </w:r>
          </w:p>
        </w:tc>
        <w:tc>
          <w:tcPr>
            <w:tcW w:w="204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Vietējā teritorijā raksturīgo vērtību, tradīciju, kultūras mantojuma saglabāšana un popularizēšana</w:t>
            </w: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rezultātā tiks veicināta VRG teritorijā raksturīgo vērtību, tradīciju, kultūras mantojuma saglabāšana un popularizēšana</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B.6.; B.15.</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rezultātā netiks veicināta VRG teritorijā raksturīgo vērtību, tradīciju, kultūras mantojuma saglabāšana un popularizēšana</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548"/>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3.5.</w:t>
            </w:r>
            <w:r>
              <w:rPr>
                <w:rFonts w:ascii="Arial" w:hAnsi="Arial" w:cs="Arial"/>
                <w:sz w:val="22"/>
                <w:szCs w:val="22"/>
                <w:vertAlign w:val="superscript"/>
              </w:rPr>
              <w:t>#</w:t>
            </w:r>
          </w:p>
        </w:tc>
        <w:tc>
          <w:tcPr>
            <w:tcW w:w="204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ietekme uz klimata pārmaiņām</w:t>
            </w: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paredzēta iekārtu un tehnoloģiju uzstādīšana, kas nodrošina atjaunojamo enerģijas avotu izmantošanu, piesārņojuma novēršanu</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B.2.; B.2.1. </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Projektā paredzēta iekārtu un tehnoloģiju uzstādīšana, kas nodrošina energoresursu taupību,</w:t>
            </w:r>
            <w:r w:rsidR="00177824">
              <w:rPr>
                <w:rFonts w:ascii="Arial" w:hAnsi="Arial" w:cs="Arial"/>
                <w:sz w:val="22"/>
                <w:szCs w:val="22"/>
              </w:rPr>
              <w:t xml:space="preserve"> </w:t>
            </w:r>
            <w:r>
              <w:rPr>
                <w:rFonts w:ascii="Arial" w:hAnsi="Arial" w:cs="Arial"/>
                <w:sz w:val="22"/>
                <w:szCs w:val="22"/>
              </w:rPr>
              <w:t>energoefektivitātes paaugstināšanu</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nav paredzēta iekārtu un tehnoloģiju uzstādīšana, kas nodrošina atjaunojamo enerģijas avotu izmantošanu vai energoresursu taupību</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92"/>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lastRenderedPageBreak/>
              <w:t xml:space="preserve">3.6.* </w:t>
            </w:r>
            <w:r>
              <w:rPr>
                <w:rFonts w:ascii="Arial" w:hAnsi="Arial" w:cs="Arial"/>
                <w:sz w:val="22"/>
                <w:szCs w:val="22"/>
                <w:vertAlign w:val="superscript"/>
              </w:rPr>
              <w:t>#</w:t>
            </w:r>
          </w:p>
        </w:tc>
        <w:tc>
          <w:tcPr>
            <w:tcW w:w="204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paredzēts radīt jaunas darbavietas** vai saglabāt esošās darbavieta (kalendārā gada griezumā atbilst normālam darba laikam)</w:t>
            </w: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Projekts paredz radīt jaunas darba vietas un</w:t>
            </w:r>
            <w:r>
              <w:rPr>
                <w:rFonts w:ascii="Arial" w:hAnsi="Arial" w:cs="Arial"/>
                <w:color w:val="FF0000"/>
                <w:sz w:val="22"/>
                <w:szCs w:val="22"/>
              </w:rPr>
              <w:t xml:space="preserve"> </w:t>
            </w:r>
            <w:r>
              <w:rPr>
                <w:rFonts w:ascii="Arial" w:hAnsi="Arial" w:cs="Arial"/>
                <w:sz w:val="22"/>
                <w:szCs w:val="22"/>
              </w:rPr>
              <w:t>apmācīt darbiniekus (jaunos un/vai esošos)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B.4.; B.15</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Projekts paredz radīt jaunas darba vietas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1.5</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Projekts paredz apmācīt esošo/-s darbinieku/-s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rezultātā paredzēts saglabāt esošās darbavietas  </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rezultātā paredzēts samazināt esošo darba vietu skaitu</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300"/>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3.7.</w:t>
            </w:r>
          </w:p>
        </w:tc>
        <w:tc>
          <w:tcPr>
            <w:tcW w:w="204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Plānots kopprojekts</w:t>
            </w: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Projekts ir kopprojekts (saskaņā ar MK noteikumiem)</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A.2.; B.4.1.</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Projekts nav kopprojekts (saskaņā ar MK noteikumiem)</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57"/>
        </w:trPr>
        <w:tc>
          <w:tcPr>
            <w:tcW w:w="7459" w:type="dxa"/>
            <w:gridSpan w:val="3"/>
            <w:tcBorders>
              <w:top w:val="single" w:sz="4" w:space="0" w:color="auto"/>
              <w:left w:val="single" w:sz="4" w:space="0" w:color="auto"/>
              <w:bottom w:val="single" w:sz="4" w:space="0" w:color="auto"/>
              <w:right w:val="single" w:sz="4" w:space="0" w:color="auto"/>
            </w:tcBorders>
            <w:hideMark/>
          </w:tcPr>
          <w:p w:rsidR="008C5EB7" w:rsidRDefault="008C5EB7" w:rsidP="003B4FC1">
            <w:pPr>
              <w:jc w:val="right"/>
              <w:rPr>
                <w:rFonts w:ascii="Arial" w:hAnsi="Arial" w:cs="Arial"/>
                <w:b/>
                <w:sz w:val="22"/>
                <w:szCs w:val="22"/>
              </w:rPr>
            </w:pPr>
            <w:r>
              <w:rPr>
                <w:rFonts w:ascii="Arial" w:hAnsi="Arial" w:cs="Arial"/>
                <w:b/>
                <w:sz w:val="22"/>
                <w:szCs w:val="22"/>
              </w:rPr>
              <w:t>Specifisko kritēriju maksimālais punktu skaits: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b/>
                <w:sz w:val="22"/>
                <w:szCs w:val="22"/>
              </w:rPr>
            </w:pPr>
            <w:r>
              <w:rPr>
                <w:rFonts w:ascii="Arial" w:hAnsi="Arial" w:cs="Arial"/>
                <w:b/>
                <w:sz w:val="22"/>
                <w:szCs w:val="22"/>
              </w:rPr>
              <w:t>13</w:t>
            </w:r>
          </w:p>
        </w:tc>
        <w:tc>
          <w:tcPr>
            <w:tcW w:w="2159"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X</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jc w:val="center"/>
              <w:rPr>
                <w:rFonts w:ascii="Arial" w:hAnsi="Arial" w:cs="Arial"/>
                <w:sz w:val="22"/>
                <w:szCs w:val="22"/>
              </w:rPr>
            </w:pPr>
          </w:p>
        </w:tc>
      </w:tr>
    </w:tbl>
    <w:p w:rsidR="008C5EB7" w:rsidRDefault="008C5EB7" w:rsidP="008C5EB7">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8C5EB7" w:rsidRDefault="008C5EB7" w:rsidP="008C5EB7">
      <w:pPr>
        <w:rPr>
          <w:rFonts w:ascii="Arial" w:hAnsi="Arial" w:cs="Arial"/>
          <w:i/>
          <w:sz w:val="22"/>
          <w:szCs w:val="22"/>
        </w:rPr>
      </w:pPr>
      <w:r>
        <w:rPr>
          <w:rFonts w:ascii="Arial" w:hAnsi="Arial" w:cs="Arial"/>
          <w:i/>
          <w:sz w:val="22"/>
          <w:szCs w:val="22"/>
        </w:rPr>
        <w:t xml:space="preserve">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w:t>
      </w:r>
      <w:proofErr w:type="spellStart"/>
      <w:r>
        <w:rPr>
          <w:rFonts w:ascii="Arial" w:hAnsi="Arial" w:cs="Arial"/>
          <w:i/>
          <w:sz w:val="22"/>
          <w:szCs w:val="22"/>
        </w:rPr>
        <w:t>riteņkrēslu</w:t>
      </w:r>
      <w:proofErr w:type="spellEnd"/>
      <w:r>
        <w:rPr>
          <w:rFonts w:ascii="Arial" w:hAnsi="Arial" w:cs="Arial"/>
          <w:i/>
          <w:sz w:val="22"/>
          <w:szCs w:val="22"/>
        </w:rPr>
        <w:t xml:space="preserve"> vai ratiņu lietotājiem.</w:t>
      </w:r>
    </w:p>
    <w:p w:rsidR="008C5EB7" w:rsidRDefault="008C5EB7" w:rsidP="008C5EB7">
      <w:pPr>
        <w:rPr>
          <w:rFonts w:ascii="Arial" w:hAnsi="Arial" w:cs="Arial"/>
          <w:i/>
          <w:sz w:val="22"/>
          <w:szCs w:val="22"/>
        </w:rPr>
      </w:pPr>
      <w:r>
        <w:rPr>
          <w:rFonts w:ascii="Arial" w:hAnsi="Arial" w:cs="Arial"/>
          <w:i/>
          <w:sz w:val="22"/>
          <w:szCs w:val="22"/>
        </w:rPr>
        <w:t xml:space="preserve">** </w:t>
      </w:r>
      <w:r>
        <w:rPr>
          <w:rFonts w:ascii="Arial" w:hAnsi="Arial" w:cs="Arial"/>
          <w:b/>
          <w:i/>
          <w:sz w:val="22"/>
          <w:szCs w:val="22"/>
        </w:rPr>
        <w:t>Par vienu darba vietu tiek skaitīta darbavieta</w:t>
      </w:r>
      <w:r>
        <w:rPr>
          <w:rFonts w:ascii="Arial" w:hAnsi="Arial" w:cs="Arial"/>
          <w:i/>
          <w:sz w:val="22"/>
          <w:szCs w:val="22"/>
        </w:rPr>
        <w:t xml:space="preserve"> ar darba līgumu vismaz uz gadu ar darbiniekam noteiktu normālo darba laiku vai </w:t>
      </w:r>
      <w:proofErr w:type="spellStart"/>
      <w:r>
        <w:rPr>
          <w:rFonts w:ascii="Arial" w:hAnsi="Arial" w:cs="Arial"/>
          <w:i/>
          <w:sz w:val="22"/>
          <w:szCs w:val="22"/>
        </w:rPr>
        <w:t>pašnodarbinātas</w:t>
      </w:r>
      <w:proofErr w:type="spellEnd"/>
      <w:r>
        <w:rPr>
          <w:rFonts w:ascii="Arial" w:hAnsi="Arial" w:cs="Arial"/>
          <w:i/>
          <w:sz w:val="22"/>
          <w:szCs w:val="22"/>
        </w:rPr>
        <w:t xml:space="preserve"> personas saimnieciskās darbības uzsākšana, vai vairākas darbavietas sezonas rakstura darbu veikšanai, kurās kopā nostrādāto stundu skaits kalendārā gada griezumā atbilst normālam darba laikam.</w:t>
      </w:r>
    </w:p>
    <w:p w:rsidR="00C031AC" w:rsidRDefault="00C031AC" w:rsidP="008C5EB7">
      <w:pPr>
        <w:pStyle w:val="Bezatstarpm"/>
        <w:ind w:firstLine="0"/>
        <w:jc w:val="center"/>
      </w:pPr>
    </w:p>
    <w:p w:rsidR="008C5EB7" w:rsidRDefault="008C5EB7" w:rsidP="008C5EB7">
      <w:pPr>
        <w:pStyle w:val="Bezatstarpm"/>
        <w:ind w:firstLine="0"/>
        <w:jc w:val="left"/>
      </w:pPr>
    </w:p>
    <w:p w:rsidR="008C5EB7" w:rsidRDefault="008C5EB7" w:rsidP="008C5EB7">
      <w:pPr>
        <w:pStyle w:val="Bezatstarpm"/>
        <w:ind w:firstLine="0"/>
        <w:jc w:val="left"/>
      </w:pPr>
    </w:p>
    <w:p w:rsidR="008C5EB7" w:rsidRPr="008C5EB7" w:rsidRDefault="008C5EB7" w:rsidP="008C5EB7">
      <w:pPr>
        <w:pStyle w:val="Bezatstarpm"/>
        <w:ind w:firstLine="0"/>
        <w:rPr>
          <w:color w:val="FF0000"/>
        </w:rPr>
      </w:pPr>
      <w:r w:rsidRPr="008C5EB7">
        <w:rPr>
          <w:color w:val="FF0000"/>
        </w:rPr>
        <w:t>Datums</w:t>
      </w:r>
      <w:r w:rsidRPr="008C5EB7">
        <w:rPr>
          <w:color w:val="FF0000"/>
        </w:rPr>
        <w:tab/>
      </w:r>
      <w:r w:rsidRPr="008C5EB7">
        <w:rPr>
          <w:color w:val="FF0000"/>
        </w:rPr>
        <w:tab/>
      </w:r>
      <w:r w:rsidRPr="008C5EB7">
        <w:rPr>
          <w:color w:val="FF0000"/>
        </w:rPr>
        <w:tab/>
      </w:r>
      <w:r w:rsidRPr="008C5EB7">
        <w:rPr>
          <w:color w:val="FF0000"/>
        </w:rPr>
        <w:tab/>
      </w:r>
      <w:r w:rsidRPr="008C5EB7">
        <w:rPr>
          <w:color w:val="FF0000"/>
        </w:rPr>
        <w:tab/>
      </w:r>
      <w:r w:rsidRPr="008C5EB7">
        <w:rPr>
          <w:color w:val="FF0000"/>
        </w:rPr>
        <w:tab/>
      </w:r>
      <w:r w:rsidRPr="008C5EB7">
        <w:rPr>
          <w:color w:val="FF0000"/>
        </w:rPr>
        <w:tab/>
      </w:r>
      <w:r w:rsidRPr="008C5EB7">
        <w:rPr>
          <w:color w:val="FF0000"/>
        </w:rPr>
        <w:tab/>
      </w:r>
      <w:r w:rsidRPr="008C5EB7">
        <w:rPr>
          <w:color w:val="FF0000"/>
        </w:rPr>
        <w:tab/>
      </w:r>
      <w:r w:rsidRPr="008C5EB7">
        <w:rPr>
          <w:color w:val="FF0000"/>
        </w:rPr>
        <w:tab/>
        <w:t xml:space="preserve">                             Paraksts /atšifrējums/</w:t>
      </w:r>
    </w:p>
    <w:sectPr w:rsidR="008C5EB7" w:rsidRPr="008C5EB7" w:rsidSect="00222A3A">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E1B" w:rsidRDefault="00D86E1B" w:rsidP="00222A3A">
      <w:r>
        <w:separator/>
      </w:r>
    </w:p>
  </w:endnote>
  <w:endnote w:type="continuationSeparator" w:id="0">
    <w:p w:rsidR="00D86E1B" w:rsidRDefault="00D86E1B" w:rsidP="0022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E1B" w:rsidRDefault="00D86E1B" w:rsidP="00222A3A">
      <w:r>
        <w:separator/>
      </w:r>
    </w:p>
  </w:footnote>
  <w:footnote w:type="continuationSeparator" w:id="0">
    <w:p w:rsidR="00D86E1B" w:rsidRDefault="00D86E1B" w:rsidP="00222A3A">
      <w:r>
        <w:continuationSeparator/>
      </w:r>
    </w:p>
  </w:footnote>
  <w:footnote w:id="1">
    <w:p w:rsidR="008C5EB7" w:rsidRDefault="008C5EB7" w:rsidP="008C5EB7">
      <w:pPr>
        <w:pStyle w:val="Vresteksts"/>
        <w:spacing w:after="0"/>
        <w:rPr>
          <w:rFonts w:cs="Times New Roman"/>
          <w:sz w:val="18"/>
          <w:szCs w:val="20"/>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rsidR="008C5EB7" w:rsidRDefault="008C5EB7" w:rsidP="008C5EB7">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A3A" w:rsidRDefault="00222A3A" w:rsidP="00222A3A">
    <w:pPr>
      <w:pStyle w:val="Galvene"/>
      <w:jc w:val="right"/>
    </w:pPr>
    <w:r w:rsidRPr="00A256BF">
      <w:rPr>
        <w:rFonts w:ascii="Arial" w:eastAsia="Calibri" w:hAnsi="Arial" w:cs="Arial"/>
        <w:b/>
        <w:noProof/>
      </w:rPr>
      <w:drawing>
        <wp:inline distT="0" distB="0" distL="0" distR="0" wp14:anchorId="574BC677" wp14:editId="1109A205">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3A"/>
    <w:rsid w:val="00031A6C"/>
    <w:rsid w:val="00060D4A"/>
    <w:rsid w:val="00177824"/>
    <w:rsid w:val="00222A3A"/>
    <w:rsid w:val="00260C05"/>
    <w:rsid w:val="00465E7A"/>
    <w:rsid w:val="006768C1"/>
    <w:rsid w:val="006D3533"/>
    <w:rsid w:val="0082142E"/>
    <w:rsid w:val="008C5EB7"/>
    <w:rsid w:val="00AF0777"/>
    <w:rsid w:val="00B53951"/>
    <w:rsid w:val="00C031AC"/>
    <w:rsid w:val="00D86E1B"/>
    <w:rsid w:val="00E274BA"/>
    <w:rsid w:val="00F367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56C6"/>
  <w15:chartTrackingRefBased/>
  <w15:docId w15:val="{32FEF232-B0B4-40D8-A270-176757A7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22A3A"/>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22A3A"/>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222A3A"/>
    <w:rPr>
      <w:b/>
      <w:bCs/>
    </w:rPr>
  </w:style>
  <w:style w:type="paragraph" w:styleId="Galvene">
    <w:name w:val="header"/>
    <w:basedOn w:val="Parasts"/>
    <w:link w:val="GalveneRakstz"/>
    <w:uiPriority w:val="99"/>
    <w:unhideWhenUsed/>
    <w:rsid w:val="00222A3A"/>
    <w:pPr>
      <w:tabs>
        <w:tab w:val="center" w:pos="4153"/>
        <w:tab w:val="right" w:pos="8306"/>
      </w:tabs>
    </w:pPr>
  </w:style>
  <w:style w:type="character" w:customStyle="1" w:styleId="GalveneRakstz">
    <w:name w:val="Galvene Rakstz."/>
    <w:basedOn w:val="Noklusjumarindkopasfonts"/>
    <w:link w:val="Galvene"/>
    <w:uiPriority w:val="99"/>
    <w:rsid w:val="00222A3A"/>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22A3A"/>
    <w:pPr>
      <w:tabs>
        <w:tab w:val="center" w:pos="4153"/>
        <w:tab w:val="right" w:pos="8306"/>
      </w:tabs>
    </w:pPr>
  </w:style>
  <w:style w:type="character" w:customStyle="1" w:styleId="KjeneRakstz">
    <w:name w:val="Kājene Rakstz."/>
    <w:basedOn w:val="Noklusjumarindkopasfonts"/>
    <w:link w:val="Kjene"/>
    <w:uiPriority w:val="99"/>
    <w:rsid w:val="00222A3A"/>
    <w:rPr>
      <w:rFonts w:ascii="Times New Roman" w:eastAsia="Times New Roman" w:hAnsi="Times New Roman" w:cs="Times New Roman"/>
      <w:sz w:val="24"/>
      <w:szCs w:val="24"/>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8C5EB7"/>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8C5EB7"/>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8C5EB7"/>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8C5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5031">
      <w:bodyDiv w:val="1"/>
      <w:marLeft w:val="0"/>
      <w:marRight w:val="0"/>
      <w:marTop w:val="0"/>
      <w:marBottom w:val="0"/>
      <w:divBdr>
        <w:top w:val="none" w:sz="0" w:space="0" w:color="auto"/>
        <w:left w:val="none" w:sz="0" w:space="0" w:color="auto"/>
        <w:bottom w:val="none" w:sz="0" w:space="0" w:color="auto"/>
        <w:right w:val="none" w:sz="0" w:space="0" w:color="auto"/>
      </w:divBdr>
    </w:div>
    <w:div w:id="64928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9689</Words>
  <Characters>5524</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2019-03-25T08:47:00Z</dcterms:created>
  <dcterms:modified xsi:type="dcterms:W3CDTF">2019-03-25T09:09:00Z</dcterms:modified>
</cp:coreProperties>
</file>